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821E" w14:textId="5C5AB188" w:rsidR="00DE0D26" w:rsidRPr="005E7948" w:rsidRDefault="005E7948" w:rsidP="005E7948">
      <w:pPr>
        <w:jc w:val="center"/>
        <w:rPr>
          <w:b/>
          <w:bCs/>
          <w:color w:val="4472C4" w:themeColor="accent1"/>
          <w:sz w:val="28"/>
          <w:szCs w:val="28"/>
        </w:rPr>
      </w:pPr>
      <w:r w:rsidRPr="005E7948">
        <w:rPr>
          <w:b/>
          <w:bCs/>
          <w:color w:val="4472C4" w:themeColor="accent1"/>
          <w:sz w:val="28"/>
          <w:szCs w:val="28"/>
        </w:rPr>
        <w:t>Patente a punti per la cantieristica</w:t>
      </w:r>
    </w:p>
    <w:p w14:paraId="1E598E04" w14:textId="3D062DE7" w:rsidR="005E7948" w:rsidRPr="005E7948" w:rsidRDefault="005E7948" w:rsidP="005E7948">
      <w:pPr>
        <w:jc w:val="center"/>
        <w:rPr>
          <w:b/>
          <w:bCs/>
          <w:color w:val="4472C4" w:themeColor="accent1"/>
          <w:sz w:val="28"/>
          <w:szCs w:val="28"/>
        </w:rPr>
      </w:pPr>
      <w:r w:rsidRPr="005E7948">
        <w:rPr>
          <w:b/>
          <w:bCs/>
          <w:color w:val="4472C4" w:themeColor="accent1"/>
          <w:sz w:val="28"/>
          <w:szCs w:val="28"/>
        </w:rPr>
        <w:t>una serie di obblighi</w:t>
      </w:r>
    </w:p>
    <w:p w14:paraId="5AAF4518" w14:textId="77777777" w:rsidR="00DE0D26" w:rsidRDefault="00DE0D26" w:rsidP="00DE0D26">
      <w:pPr>
        <w:jc w:val="both"/>
        <w:rPr>
          <w:color w:val="000000"/>
        </w:rPr>
      </w:pPr>
    </w:p>
    <w:p w14:paraId="7840600E" w14:textId="022B858E" w:rsidR="00DE0D26" w:rsidRPr="00DE0D26" w:rsidRDefault="00DE0D26" w:rsidP="00DE0D26">
      <w:pPr>
        <w:jc w:val="both"/>
        <w:rPr>
          <w:color w:val="000000"/>
        </w:rPr>
      </w:pPr>
      <w:proofErr w:type="gramStart"/>
      <w:r w:rsidRPr="00DE0D26">
        <w:rPr>
          <w:color w:val="000000"/>
        </w:rPr>
        <w:t xml:space="preserve">Il </w:t>
      </w:r>
      <w:r w:rsidRPr="00DE0D26">
        <w:rPr>
          <w:color w:val="000000"/>
        </w:rPr>
        <w:t xml:space="preserve"> decreto</w:t>
      </w:r>
      <w:proofErr w:type="gramEnd"/>
      <w:r w:rsidRPr="00DE0D26">
        <w:rPr>
          <w:color w:val="000000"/>
        </w:rPr>
        <w:t xml:space="preserve"> ministeriale n. 132 del 18/09/2024 </w:t>
      </w:r>
      <w:r w:rsidRPr="00DE0D26">
        <w:rPr>
          <w:color w:val="000000"/>
        </w:rPr>
        <w:t>in vigore dal</w:t>
      </w:r>
      <w:r w:rsidRPr="00DE0D26">
        <w:rPr>
          <w:color w:val="000000"/>
        </w:rPr>
        <w:t xml:space="preserve"> venerdì 20 settembre</w:t>
      </w:r>
      <w:r w:rsidRPr="00DE0D26">
        <w:rPr>
          <w:color w:val="000000"/>
        </w:rPr>
        <w:t>,</w:t>
      </w:r>
      <w:r w:rsidRPr="00DE0D26">
        <w:rPr>
          <w:color w:val="000000"/>
        </w:rPr>
        <w:t> ha previsto e regolamentato le modalità di presentazione della domanda per il conseguimento della patente per le imprese e i lavoratori autonomi operanti nei cantieri temporanei o mobili.</w:t>
      </w:r>
    </w:p>
    <w:p w14:paraId="58B1E9B4" w14:textId="76FFA0BB" w:rsidR="00DE0D26" w:rsidRPr="00DE0D26" w:rsidRDefault="00DE0D26" w:rsidP="00DE0D26">
      <w:pPr>
        <w:jc w:val="both"/>
        <w:rPr>
          <w:color w:val="000000"/>
        </w:rPr>
      </w:pPr>
      <w:r>
        <w:rPr>
          <w:color w:val="000000"/>
        </w:rPr>
        <w:t>L’</w:t>
      </w:r>
      <w:r w:rsidRPr="00DE0D26">
        <w:rPr>
          <w:color w:val="000000"/>
        </w:rPr>
        <w:t>Ispettorato Nazionale del Lavoro, ha pubblicato una nota con alcuni chiarimenti applicativi.</w:t>
      </w:r>
    </w:p>
    <w:p w14:paraId="359FC097" w14:textId="4F6CBEDF" w:rsidR="00DE0D26" w:rsidRPr="00DE0D26" w:rsidRDefault="00DE0D26" w:rsidP="00DE0D26">
      <w:pPr>
        <w:jc w:val="both"/>
        <w:rPr>
          <w:color w:val="000000"/>
        </w:rPr>
      </w:pPr>
      <w:r>
        <w:rPr>
          <w:color w:val="000000"/>
        </w:rPr>
        <w:t xml:space="preserve">In vigore dal </w:t>
      </w:r>
      <w:r>
        <w:rPr>
          <w:b/>
          <w:bCs/>
          <w:color w:val="000000"/>
        </w:rPr>
        <w:t>1</w:t>
      </w:r>
      <w:proofErr w:type="gramStart"/>
      <w:r>
        <w:rPr>
          <w:b/>
          <w:bCs/>
          <w:color w:val="000000"/>
        </w:rPr>
        <w:t xml:space="preserve">° </w:t>
      </w:r>
      <w:r w:rsidRPr="00DE0D26">
        <w:rPr>
          <w:b/>
          <w:bCs/>
          <w:color w:val="000000"/>
        </w:rPr>
        <w:t xml:space="preserve"> ottobre</w:t>
      </w:r>
      <w:proofErr w:type="gramEnd"/>
      <w:r w:rsidRPr="00DE0D26">
        <w:rPr>
          <w:b/>
          <w:bCs/>
          <w:color w:val="000000"/>
        </w:rPr>
        <w:t xml:space="preserve"> 2024</w:t>
      </w:r>
      <w:r w:rsidRPr="00DE0D26">
        <w:rPr>
          <w:color w:val="000000"/>
        </w:rPr>
        <w:t> </w:t>
      </w:r>
    </w:p>
    <w:p w14:paraId="4CAC29C3" w14:textId="15B0CDB7" w:rsidR="00DE0D26" w:rsidRPr="00DE0D26" w:rsidRDefault="00DE0D26" w:rsidP="00DE0D26">
      <w:pPr>
        <w:jc w:val="both"/>
        <w:rPr>
          <w:b/>
          <w:bCs/>
          <w:color w:val="000000"/>
        </w:rPr>
      </w:pPr>
      <w:r>
        <w:rPr>
          <w:b/>
          <w:bCs/>
          <w:i/>
          <w:iCs/>
          <w:color w:val="000000"/>
        </w:rPr>
        <w:t xml:space="preserve">Che cosa </w:t>
      </w:r>
      <w:r w:rsidRPr="00DE0D26">
        <w:rPr>
          <w:b/>
          <w:bCs/>
          <w:i/>
          <w:iCs/>
          <w:color w:val="000000"/>
        </w:rPr>
        <w:t>fare?</w:t>
      </w:r>
    </w:p>
    <w:p w14:paraId="03CAED91" w14:textId="77777777" w:rsidR="00DE0D26" w:rsidRPr="00DE0D26" w:rsidRDefault="00DE0D26" w:rsidP="00DE0D26">
      <w:pPr>
        <w:jc w:val="both"/>
        <w:rPr>
          <w:color w:val="000000"/>
        </w:rPr>
      </w:pPr>
      <w:r w:rsidRPr="00DE0D26">
        <w:rPr>
          <w:color w:val="000000"/>
        </w:rPr>
        <w:t>Le imprese che operano all’interno del Titolo IV dovranno intanto caricare i documenti che sono richiesti dal Decreto sul portale dell’Ispettorato Nazionale del Lavoro (quando questo sarà disponibile…) ed implementare il punteggio con le azioni previste dall’allegato del Decreto 18 settembre 2024.</w:t>
      </w:r>
    </w:p>
    <w:p w14:paraId="1B089158" w14:textId="72DA79FB" w:rsidR="00DE0D26" w:rsidRPr="00DE0D26" w:rsidRDefault="00DE0D26" w:rsidP="00DE0D26">
      <w:pPr>
        <w:jc w:val="both"/>
        <w:rPr>
          <w:color w:val="000000"/>
        </w:rPr>
      </w:pPr>
      <w:r>
        <w:rPr>
          <w:color w:val="000000"/>
        </w:rPr>
        <w:t>O</w:t>
      </w:r>
      <w:r w:rsidRPr="00DE0D26">
        <w:rPr>
          <w:color w:val="000000"/>
        </w:rPr>
        <w:t>ccorre dimostrare il possesso dei seguenti requisiti:</w:t>
      </w:r>
    </w:p>
    <w:p w14:paraId="32BCA341" w14:textId="77777777" w:rsidR="00DE0D26" w:rsidRPr="00DE0D26" w:rsidRDefault="00DE0D26" w:rsidP="00DE0D26">
      <w:pPr>
        <w:numPr>
          <w:ilvl w:val="0"/>
          <w:numId w:val="1"/>
        </w:numPr>
        <w:jc w:val="both"/>
        <w:rPr>
          <w:rFonts w:eastAsia="Times New Roman"/>
          <w:color w:val="000000"/>
        </w:rPr>
      </w:pPr>
      <w:r w:rsidRPr="00DE0D26">
        <w:rPr>
          <w:rFonts w:eastAsia="Times New Roman"/>
          <w:color w:val="000000"/>
        </w:rPr>
        <w:t>Iscrizione alla camera di commercio, industria, artigianato ed agricoltura</w:t>
      </w:r>
    </w:p>
    <w:p w14:paraId="09CFB6A1" w14:textId="77777777" w:rsidR="00DE0D26" w:rsidRPr="00DE0D26" w:rsidRDefault="00DE0D26" w:rsidP="00DE0D26">
      <w:pPr>
        <w:numPr>
          <w:ilvl w:val="0"/>
          <w:numId w:val="1"/>
        </w:numPr>
        <w:jc w:val="both"/>
        <w:rPr>
          <w:rFonts w:eastAsia="Times New Roman"/>
          <w:color w:val="000000"/>
        </w:rPr>
      </w:pPr>
      <w:r w:rsidRPr="00DE0D26">
        <w:rPr>
          <w:rFonts w:eastAsia="Times New Roman"/>
          <w:color w:val="000000"/>
        </w:rPr>
        <w:t>Adempimento, da parte dei datori di lavoro, dei dirigenti, dei preposti, dei lavoratori autonomi e dei prestatori di lavoro, degli obblighi formativi previsti dal Decreto Legislativo 81/2008</w:t>
      </w:r>
    </w:p>
    <w:p w14:paraId="009DF2F1" w14:textId="77777777" w:rsidR="00DE0D26" w:rsidRPr="00DE0D26" w:rsidRDefault="00DE0D26" w:rsidP="00DE0D26">
      <w:pPr>
        <w:numPr>
          <w:ilvl w:val="0"/>
          <w:numId w:val="1"/>
        </w:numPr>
        <w:jc w:val="both"/>
        <w:rPr>
          <w:rFonts w:eastAsia="Times New Roman"/>
          <w:color w:val="000000"/>
        </w:rPr>
      </w:pPr>
      <w:r w:rsidRPr="00DE0D26">
        <w:rPr>
          <w:rFonts w:eastAsia="Times New Roman"/>
          <w:color w:val="000000"/>
        </w:rPr>
        <w:t>Possesso del documento unico di regolarità contributiva in corso di validità</w:t>
      </w:r>
    </w:p>
    <w:p w14:paraId="467DC0B9" w14:textId="77777777" w:rsidR="00DE0D26" w:rsidRPr="00DE0D26" w:rsidRDefault="00DE0D26" w:rsidP="00DE0D26">
      <w:pPr>
        <w:numPr>
          <w:ilvl w:val="0"/>
          <w:numId w:val="1"/>
        </w:numPr>
        <w:jc w:val="both"/>
        <w:rPr>
          <w:rFonts w:eastAsia="Times New Roman"/>
          <w:color w:val="000000"/>
        </w:rPr>
      </w:pPr>
      <w:r w:rsidRPr="00DE0D26">
        <w:rPr>
          <w:rFonts w:eastAsia="Times New Roman"/>
          <w:color w:val="000000"/>
        </w:rPr>
        <w:t>Possesso del documento di valutazione dei rischi nei casi presenti dalla normativa</w:t>
      </w:r>
    </w:p>
    <w:p w14:paraId="61574363" w14:textId="77777777" w:rsidR="00DE0D26" w:rsidRPr="00DE0D26" w:rsidRDefault="00DE0D26" w:rsidP="00DE0D26">
      <w:pPr>
        <w:numPr>
          <w:ilvl w:val="0"/>
          <w:numId w:val="1"/>
        </w:numPr>
        <w:jc w:val="both"/>
        <w:rPr>
          <w:rFonts w:eastAsia="Times New Roman"/>
          <w:color w:val="000000"/>
        </w:rPr>
      </w:pPr>
      <w:r w:rsidRPr="00DE0D26">
        <w:rPr>
          <w:rFonts w:eastAsia="Times New Roman"/>
          <w:color w:val="000000"/>
        </w:rPr>
        <w:t>Possesso della certificazione di regolarità fiscale</w:t>
      </w:r>
    </w:p>
    <w:p w14:paraId="6BC10B86" w14:textId="77777777" w:rsidR="00DE0D26" w:rsidRPr="00DE0D26" w:rsidRDefault="00DE0D26" w:rsidP="00DE0D26">
      <w:pPr>
        <w:numPr>
          <w:ilvl w:val="0"/>
          <w:numId w:val="1"/>
        </w:numPr>
        <w:jc w:val="both"/>
        <w:rPr>
          <w:rFonts w:eastAsia="Times New Roman"/>
          <w:color w:val="000000"/>
        </w:rPr>
      </w:pPr>
      <w:r w:rsidRPr="00DE0D26">
        <w:rPr>
          <w:rFonts w:eastAsia="Times New Roman"/>
          <w:color w:val="000000"/>
        </w:rPr>
        <w:t>Avvenuta designazione del responsabile del servizio di prevenzione e protezione</w:t>
      </w:r>
    </w:p>
    <w:p w14:paraId="67E3F65C" w14:textId="0B19C145" w:rsidR="00DE0D26" w:rsidRPr="00DE0D26" w:rsidRDefault="00DE0D26" w:rsidP="00DE0D26">
      <w:pPr>
        <w:jc w:val="both"/>
        <w:rPr>
          <w:color w:val="000000"/>
        </w:rPr>
      </w:pPr>
      <w:r w:rsidRPr="00DE0D26">
        <w:rPr>
          <w:color w:val="000000"/>
        </w:rPr>
        <w:t xml:space="preserve">Il possesso dei requisiti è attestato attraverso autocertificazione e mediante dichiarazioni sostitutive </w:t>
      </w:r>
      <w:r>
        <w:rPr>
          <w:color w:val="000000"/>
        </w:rPr>
        <w:t xml:space="preserve">che trovate qui sotto </w:t>
      </w:r>
      <w:r w:rsidR="005E7948">
        <w:rPr>
          <w:color w:val="000000"/>
        </w:rPr>
        <w:t>nel file PDF.</w:t>
      </w:r>
    </w:p>
    <w:p w14:paraId="2F6F09CE" w14:textId="77777777" w:rsidR="00DE0D26" w:rsidRPr="00DE0D26" w:rsidRDefault="00DE0D26" w:rsidP="00DE0D26">
      <w:pPr>
        <w:jc w:val="both"/>
        <w:rPr>
          <w:b/>
          <w:bCs/>
          <w:color w:val="000000"/>
        </w:rPr>
      </w:pPr>
      <w:r w:rsidRPr="00DE0D26">
        <w:rPr>
          <w:b/>
          <w:bCs/>
          <w:i/>
          <w:iCs/>
          <w:color w:val="000000"/>
        </w:rPr>
        <w:t>A chi si applica quest’obbligo?</w:t>
      </w:r>
    </w:p>
    <w:p w14:paraId="51D7EA45" w14:textId="77777777" w:rsidR="00DE0D26" w:rsidRPr="00DE0D26" w:rsidRDefault="00DE0D26" w:rsidP="00DE0D26">
      <w:pPr>
        <w:jc w:val="both"/>
        <w:rPr>
          <w:color w:val="000000"/>
        </w:rPr>
      </w:pPr>
      <w:r w:rsidRPr="00DE0D26">
        <w:rPr>
          <w:color w:val="000000"/>
        </w:rPr>
        <w:t>A tutte le imprese ed i lavoratori autonomi che operano nei cantieri temporanei e mobili di cui all’articolo 89 comma 1, lett a, ad esclusione di coloro i quali effettuano mere forniture o prestazioni di natura intellettuale.</w:t>
      </w:r>
    </w:p>
    <w:p w14:paraId="08F63377" w14:textId="730972C7" w:rsidR="00DE0D26" w:rsidRPr="00DE0D26" w:rsidRDefault="00DE0D26" w:rsidP="00DE0D26">
      <w:pPr>
        <w:jc w:val="both"/>
        <w:rPr>
          <w:color w:val="000000"/>
        </w:rPr>
      </w:pPr>
      <w:r>
        <w:rPr>
          <w:color w:val="000000"/>
        </w:rPr>
        <w:t>Pertanto da</w:t>
      </w:r>
      <w:r w:rsidRPr="00DE0D26">
        <w:rPr>
          <w:color w:val="000000"/>
        </w:rPr>
        <w:t xml:space="preserve"> martedì 01 ottobre il committente deve verificare il corretto adempimento delle imprese che operano nel cantiere. Questa incombenza non riguarda solo le imprese committenti in senso stretto, ma anche tutte le amministrazioni immobiliari e condominiali</w:t>
      </w:r>
      <w:r>
        <w:rPr>
          <w:color w:val="000000"/>
        </w:rPr>
        <w:t>.</w:t>
      </w:r>
      <w:r w:rsidRPr="00DE0D26">
        <w:rPr>
          <w:color w:val="000000"/>
        </w:rPr>
        <w:t> </w:t>
      </w:r>
    </w:p>
    <w:p w14:paraId="68211F5D" w14:textId="77777777" w:rsidR="00DE0D26" w:rsidRPr="00DE0D26" w:rsidRDefault="00DE0D26" w:rsidP="00DE0D26">
      <w:pPr>
        <w:jc w:val="both"/>
        <w:rPr>
          <w:color w:val="000000"/>
        </w:rPr>
      </w:pPr>
      <w:r w:rsidRPr="00DE0D26">
        <w:rPr>
          <w:b/>
          <w:bCs/>
          <w:color w:val="000000"/>
        </w:rPr>
        <w:t xml:space="preserve">Fino al 31 ottobre sarà possibile trasmettere i documenti richiesti per l’ottenimento della patente a punti, non solo caricandoli sul portale INL ma anche spedendoli via PEC a </w:t>
      </w:r>
      <w:hyperlink r:id="rId5" w:history="1">
        <w:r w:rsidRPr="00DE0D26">
          <w:rPr>
            <w:rStyle w:val="Collegamentoipertestuale"/>
            <w:b/>
            <w:bCs/>
            <w:color w:val="0000FF"/>
          </w:rPr>
          <w:t>dichiarazionepatente@pec.ispettorato.gov.it</w:t>
        </w:r>
      </w:hyperlink>
    </w:p>
    <w:p w14:paraId="59BD2965" w14:textId="77777777" w:rsidR="00DE0D26" w:rsidRPr="00DE0D26" w:rsidRDefault="00DE0D26" w:rsidP="00DE0D26">
      <w:pPr>
        <w:jc w:val="both"/>
        <w:rPr>
          <w:color w:val="000000"/>
        </w:rPr>
      </w:pPr>
      <w:r w:rsidRPr="00DE0D26">
        <w:rPr>
          <w:color w:val="000000"/>
        </w:rPr>
        <w:t>Si precisa che la trasmissione della autocertificazione/dichiarazione sostitutiva inviata mediante PEC ha efficacia fino alla data del 31 ottobre 2024 e vincola l’operatore a presentare la domanda per il rilascio della patente mediante il portale dell’Ispettorato nazionale del lavoro entro la medesima data.</w:t>
      </w:r>
    </w:p>
    <w:p w14:paraId="48E9F623" w14:textId="77777777" w:rsidR="00DE0D26" w:rsidRPr="00DE0D26" w:rsidRDefault="00DE0D26" w:rsidP="00DE0D26">
      <w:pPr>
        <w:jc w:val="both"/>
        <w:rPr>
          <w:color w:val="000000"/>
        </w:rPr>
      </w:pPr>
      <w:r w:rsidRPr="00DE0D26">
        <w:rPr>
          <w:color w:val="000000"/>
        </w:rPr>
        <w:t>A partire dal 1° novembre p.v. non sarà possibile operare in cantiere in forza della trasmissione della autocertificazione/dichiarazione sostitutiva a mezzo PEC, essendo indispensabile aver effettuato la richiesta di rilascio della patente tramite il portale.</w:t>
      </w:r>
    </w:p>
    <w:p w14:paraId="69383A90" w14:textId="24E06F6F" w:rsidR="00FC0F45" w:rsidRDefault="00DE0D26" w:rsidP="00DE0D26">
      <w:pPr>
        <w:jc w:val="both"/>
        <w:rPr>
          <w:b/>
          <w:bCs/>
          <w:color w:val="000000"/>
        </w:rPr>
      </w:pPr>
      <w:r>
        <w:rPr>
          <w:b/>
          <w:bCs/>
          <w:color w:val="000000"/>
        </w:rPr>
        <w:t>Da un punto di vista operativo questa materia riguarda esclusivamente la sicurezza pertanto si invitano gli interessati a contattare direttamente ed esclusivamente i consulenti per la sicurezza e non il commercialista.</w:t>
      </w:r>
    </w:p>
    <w:p w14:paraId="511FC439" w14:textId="4AB7A2D0" w:rsidR="00DE0D26" w:rsidRDefault="00DE0D26" w:rsidP="00DE0D26">
      <w:pPr>
        <w:jc w:val="both"/>
        <w:rPr>
          <w:b/>
          <w:bCs/>
          <w:color w:val="000000"/>
        </w:rPr>
      </w:pPr>
    </w:p>
    <w:p w14:paraId="01EDD2D1" w14:textId="6EE3AE37" w:rsidR="00DE0D26" w:rsidRDefault="00DE0D26" w:rsidP="00DE0D26">
      <w:pPr>
        <w:jc w:val="both"/>
      </w:pPr>
    </w:p>
    <w:p w14:paraId="482530A5" w14:textId="55C7FBE9" w:rsidR="005E7948" w:rsidRDefault="005E7948" w:rsidP="00DE0D26">
      <w:pPr>
        <w:jc w:val="both"/>
      </w:pPr>
    </w:p>
    <w:p w14:paraId="74180EE8" w14:textId="18113E91" w:rsidR="005E7948" w:rsidRPr="00DE0D26" w:rsidRDefault="005E7948" w:rsidP="00DE0D26">
      <w:pPr>
        <w:jc w:val="both"/>
      </w:pPr>
      <w:r>
        <w:object w:dxaOrig="1534" w:dyaOrig="994" w14:anchorId="7AEA6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6" o:title=""/>
          </v:shape>
          <o:OLEObject Type="Embed" ProgID="Acrobat.Document.DC" ShapeID="_x0000_i1027" DrawAspect="Icon" ObjectID="_1788956367" r:id="rId7"/>
        </w:object>
      </w:r>
    </w:p>
    <w:sectPr w:rsidR="005E7948" w:rsidRPr="00DE0D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3A2C"/>
    <w:multiLevelType w:val="multilevel"/>
    <w:tmpl w:val="EAFA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829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45"/>
    <w:rsid w:val="003813C0"/>
    <w:rsid w:val="005E7948"/>
    <w:rsid w:val="00A13D2C"/>
    <w:rsid w:val="00DE0D26"/>
    <w:rsid w:val="00FC0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AE22"/>
  <w15:chartTrackingRefBased/>
  <w15:docId w15:val="{7F0E0337-6C52-40CB-BBB7-0FC20180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0D2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0D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9470">
      <w:bodyDiv w:val="1"/>
      <w:marLeft w:val="0"/>
      <w:marRight w:val="0"/>
      <w:marTop w:val="0"/>
      <w:marBottom w:val="0"/>
      <w:divBdr>
        <w:top w:val="none" w:sz="0" w:space="0" w:color="auto"/>
        <w:left w:val="none" w:sz="0" w:space="0" w:color="auto"/>
        <w:bottom w:val="none" w:sz="0" w:space="0" w:color="auto"/>
        <w:right w:val="none" w:sz="0" w:space="0" w:color="auto"/>
      </w:divBdr>
      <w:divsChild>
        <w:div w:id="1518039035">
          <w:marLeft w:val="0"/>
          <w:marRight w:val="0"/>
          <w:marTop w:val="0"/>
          <w:marBottom w:val="0"/>
          <w:divBdr>
            <w:top w:val="none" w:sz="0" w:space="0" w:color="auto"/>
            <w:left w:val="none" w:sz="0" w:space="0" w:color="auto"/>
            <w:bottom w:val="none" w:sz="0" w:space="0" w:color="auto"/>
            <w:right w:val="none" w:sz="0" w:space="0" w:color="auto"/>
          </w:divBdr>
          <w:divsChild>
            <w:div w:id="863444166">
              <w:marLeft w:val="0"/>
              <w:marRight w:val="0"/>
              <w:marTop w:val="0"/>
              <w:marBottom w:val="0"/>
              <w:divBdr>
                <w:top w:val="none" w:sz="0" w:space="0" w:color="auto"/>
                <w:left w:val="none" w:sz="0" w:space="0" w:color="auto"/>
                <w:bottom w:val="none" w:sz="0" w:space="0" w:color="auto"/>
                <w:right w:val="none" w:sz="0" w:space="0" w:color="auto"/>
              </w:divBdr>
              <w:divsChild>
                <w:div w:id="1297293329">
                  <w:marLeft w:val="0"/>
                  <w:marRight w:val="0"/>
                  <w:marTop w:val="0"/>
                  <w:marBottom w:val="0"/>
                  <w:divBdr>
                    <w:top w:val="none" w:sz="0" w:space="0" w:color="auto"/>
                    <w:left w:val="none" w:sz="0" w:space="0" w:color="auto"/>
                    <w:bottom w:val="none" w:sz="0" w:space="0" w:color="auto"/>
                    <w:right w:val="none" w:sz="0" w:space="0" w:color="auto"/>
                  </w:divBdr>
                  <w:divsChild>
                    <w:div w:id="2037806721">
                      <w:marLeft w:val="0"/>
                      <w:marRight w:val="0"/>
                      <w:marTop w:val="0"/>
                      <w:marBottom w:val="0"/>
                      <w:divBdr>
                        <w:top w:val="none" w:sz="0" w:space="0" w:color="auto"/>
                        <w:left w:val="none" w:sz="0" w:space="0" w:color="auto"/>
                        <w:bottom w:val="none" w:sz="0" w:space="0" w:color="auto"/>
                        <w:right w:val="none" w:sz="0" w:space="0" w:color="auto"/>
                      </w:divBdr>
                      <w:divsChild>
                        <w:div w:id="1544321867">
                          <w:marLeft w:val="0"/>
                          <w:marRight w:val="0"/>
                          <w:marTop w:val="0"/>
                          <w:marBottom w:val="0"/>
                          <w:divBdr>
                            <w:top w:val="none" w:sz="0" w:space="0" w:color="auto"/>
                            <w:left w:val="none" w:sz="0" w:space="0" w:color="auto"/>
                            <w:bottom w:val="none" w:sz="0" w:space="0" w:color="auto"/>
                            <w:right w:val="none" w:sz="0" w:space="0" w:color="auto"/>
                          </w:divBdr>
                        </w:div>
                        <w:div w:id="257106789">
                          <w:marLeft w:val="0"/>
                          <w:marRight w:val="0"/>
                          <w:marTop w:val="0"/>
                          <w:marBottom w:val="0"/>
                          <w:divBdr>
                            <w:top w:val="none" w:sz="0" w:space="0" w:color="auto"/>
                            <w:left w:val="none" w:sz="0" w:space="0" w:color="auto"/>
                            <w:bottom w:val="none" w:sz="0" w:space="0" w:color="auto"/>
                            <w:right w:val="none" w:sz="0" w:space="0" w:color="auto"/>
                          </w:divBdr>
                          <w:divsChild>
                            <w:div w:id="532501707">
                              <w:marLeft w:val="0"/>
                              <w:marRight w:val="0"/>
                              <w:marTop w:val="0"/>
                              <w:marBottom w:val="0"/>
                              <w:divBdr>
                                <w:top w:val="none" w:sz="0" w:space="0" w:color="auto"/>
                                <w:left w:val="none" w:sz="0" w:space="0" w:color="auto"/>
                                <w:bottom w:val="none" w:sz="0" w:space="0" w:color="auto"/>
                                <w:right w:val="none" w:sz="0" w:space="0" w:color="auto"/>
                              </w:divBdr>
                            </w:div>
                            <w:div w:id="991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874784">
          <w:marLeft w:val="0"/>
          <w:marRight w:val="0"/>
          <w:marTop w:val="0"/>
          <w:marBottom w:val="0"/>
          <w:divBdr>
            <w:top w:val="none" w:sz="0" w:space="0" w:color="auto"/>
            <w:left w:val="none" w:sz="0" w:space="0" w:color="auto"/>
            <w:bottom w:val="none" w:sz="0" w:space="0" w:color="auto"/>
            <w:right w:val="none" w:sz="0" w:space="0" w:color="auto"/>
          </w:divBdr>
        </w:div>
      </w:divsChild>
    </w:div>
    <w:div w:id="21381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dichiarazionepatente@pec.ispettorato.gov.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2690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Dott.Alfredo</dc:creator>
  <cp:keywords/>
  <dc:description/>
  <cp:lastModifiedBy>Dott.Alfredo</cp:lastModifiedBy>
  <cp:revision>2</cp:revision>
  <dcterms:created xsi:type="dcterms:W3CDTF">2024-09-27T13:33:00Z</dcterms:created>
  <dcterms:modified xsi:type="dcterms:W3CDTF">2024-09-27T13:33:00Z</dcterms:modified>
</cp:coreProperties>
</file>